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9E7" w:rsidRPr="00181EE5" w:rsidRDefault="00E769E7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E769E7" w:rsidRPr="00C87EA1" w:rsidRDefault="00E769E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E769E7" w:rsidRDefault="00E769E7" w:rsidP="0059725C">
      <w:pPr>
        <w:pStyle w:val="1"/>
      </w:pPr>
      <w:r w:rsidRPr="00EF057E">
        <w:t>Predictors of successful graduation and overall well-being of graduates</w:t>
      </w:r>
    </w:p>
    <w:p w:rsidR="00E769E7" w:rsidRPr="00EF057E" w:rsidRDefault="00E769E7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E769E7" w:rsidRDefault="00E769E7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E769E7" w:rsidRDefault="00E769E7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E769E7" w:rsidRDefault="00E769E7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E769E7" w:rsidRPr="00705132" w:rsidRDefault="00E769E7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E769E7" w:rsidRDefault="00E769E7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E769E7" w:rsidRPr="00EF057E" w:rsidRDefault="00E769E7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E769E7" w:rsidRPr="00EF057E" w:rsidRDefault="00E769E7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E769E7" w:rsidRPr="00EF057E" w:rsidRDefault="00E769E7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E769E7" w:rsidRPr="00EF057E" w:rsidRDefault="00E769E7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E769E7" w:rsidRPr="00B860B5" w:rsidRDefault="00E769E7" w:rsidP="00E25013">
      <w:pPr>
        <w:spacing w:before="120"/>
        <w:jc w:val="both"/>
        <w:rPr>
          <w:color w:val="FF0000"/>
          <w:lang w:val="en-US"/>
        </w:rPr>
      </w:pPr>
      <w:r w:rsidRPr="00EF057E">
        <w:rPr>
          <w:b/>
        </w:rPr>
        <w:lastRenderedPageBreak/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Extreme Psychology and Personal Safety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</w:t>
      </w:r>
      <w:r w:rsidRPr="00B860B5">
        <w:rPr>
          <w:color w:val="FF0000"/>
          <w:lang w:val="en-US"/>
        </w:rPr>
        <w:t>://</w:t>
      </w:r>
      <w:proofErr w:type="spellStart"/>
      <w:r w:rsidRPr="00EF057E">
        <w:rPr>
          <w:color w:val="FF0000"/>
        </w:rPr>
        <w:t>doi</w:t>
      </w:r>
      <w:proofErr w:type="spellEnd"/>
      <w:r w:rsidRPr="00B860B5">
        <w:rPr>
          <w:color w:val="FF0000"/>
          <w:lang w:val="en-US"/>
        </w:rPr>
        <w:t>.</w:t>
      </w:r>
      <w:r w:rsidRPr="00EF057E">
        <w:rPr>
          <w:color w:val="FF0000"/>
        </w:rPr>
        <w:t>org</w:t>
      </w:r>
      <w:r w:rsidRPr="00B860B5">
        <w:rPr>
          <w:color w:val="FF0000"/>
          <w:lang w:val="en-US"/>
        </w:rPr>
        <w:t>/</w:t>
      </w:r>
      <w:r w:rsidRPr="0063029F">
        <w:rPr>
          <w:noProof/>
          <w:color w:val="FF0000"/>
        </w:rPr>
        <w:t>10.17759/epps.2025020___</w:t>
      </w:r>
    </w:p>
    <w:p w:rsidR="00E769E7" w:rsidRPr="00B860B5" w:rsidRDefault="00E769E7" w:rsidP="00E26B19">
      <w:pPr>
        <w:pStyle w:val="1"/>
        <w:rPr>
          <w:color w:val="FF0000"/>
          <w:lang w:val="en-US"/>
        </w:rPr>
      </w:pPr>
      <w:r w:rsidRPr="00BB4EF9">
        <w:rPr>
          <w:color w:val="FF0000"/>
          <w:lang w:val="ru-RU"/>
        </w:rPr>
        <w:t>Название</w:t>
      </w:r>
      <w:r w:rsidRPr="00B860B5">
        <w:rPr>
          <w:color w:val="FF0000"/>
          <w:lang w:val="en-US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E769E7" w:rsidRPr="00BB4EF9" w:rsidRDefault="00E769E7" w:rsidP="00E26B19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55D2B645" wp14:editId="0FA74B3D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E769E7" w:rsidRPr="00BB4EF9" w:rsidRDefault="00E769E7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E769E7" w:rsidRPr="00BB4EF9" w:rsidRDefault="00E769E7" w:rsidP="00E26B19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E769E7" w:rsidRPr="00BB4EF9" w:rsidRDefault="00E769E7" w:rsidP="00E26B19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1FFE124B" wp14:editId="71108463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E769E7" w:rsidRPr="00BB4EF9" w:rsidRDefault="00E769E7" w:rsidP="00E26B19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E769E7" w:rsidRPr="00BB4EF9" w:rsidRDefault="00E769E7" w:rsidP="00E26B19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E769E7" w:rsidRPr="00BB4EF9" w:rsidRDefault="00E769E7" w:rsidP="00E26B19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E769E7" w:rsidRPr="00B860B5" w:rsidRDefault="00E769E7" w:rsidP="00E26B19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B860B5">
        <w:rPr>
          <w:color w:val="FF0000"/>
          <w:lang w:val="ru-RU"/>
        </w:rPr>
        <w:t>.</w:t>
      </w:r>
    </w:p>
    <w:p w:rsidR="00E769E7" w:rsidRPr="00BB4EF9" w:rsidRDefault="00E769E7" w:rsidP="00E26B19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E769E7" w:rsidRPr="00BB4EF9" w:rsidRDefault="00E769E7" w:rsidP="00E26B19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E769E7" w:rsidRPr="0054017C" w:rsidRDefault="00E769E7" w:rsidP="00E26B19">
      <w:pPr>
        <w:keepLines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>Иванов, В.А., Пе</w:t>
      </w:r>
      <w:bookmarkStart w:id="0" w:name="_GoBack"/>
      <w:bookmarkEnd w:id="0"/>
      <w:r w:rsidRPr="00BB4EF9">
        <w:rPr>
          <w:color w:val="FF0000"/>
          <w:lang w:val="ru-RU"/>
        </w:rPr>
        <w:t xml:space="preserve">тров, В.Н. (20__). Название статьи. </w:t>
      </w:r>
      <w:r w:rsidRPr="0063029F">
        <w:rPr>
          <w:i/>
          <w:noProof/>
          <w:color w:val="FF0000"/>
          <w:lang w:val="ru-RU"/>
        </w:rPr>
        <w:t>Экстремальная психология и безопасность личности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10.17759/epps.2025020___</w:t>
      </w:r>
    </w:p>
    <w:p w:rsidR="00E769E7" w:rsidRPr="00B860B5" w:rsidRDefault="00E769E7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E769E7" w:rsidRPr="00BE5A49" w:rsidRDefault="00E769E7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E769E7" w:rsidRPr="000C2CC8" w:rsidRDefault="00E769E7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E769E7" w:rsidRPr="000C2CC8" w:rsidRDefault="00E769E7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E769E7" w:rsidRPr="00915F99" w:rsidRDefault="00E769E7" w:rsidP="00365F51">
      <w:pPr>
        <w:pStyle w:val="3"/>
        <w:rPr>
          <w:i/>
          <w:lang w:val="en-US"/>
        </w:rPr>
      </w:pPr>
      <w:r>
        <w:rPr>
          <w:lang w:val="en-US"/>
        </w:rPr>
        <w:lastRenderedPageBreak/>
        <w:t>Results</w:t>
      </w:r>
    </w:p>
    <w:p w:rsidR="00E769E7" w:rsidRPr="00915F99" w:rsidRDefault="00E769E7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E769E7" w:rsidRPr="00915F99" w:rsidRDefault="00E769E7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E769E7" w:rsidRPr="00A20E85" w:rsidRDefault="00E769E7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E769E7" w:rsidRDefault="00E769E7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E769E7" w:rsidTr="00F56EAC">
        <w:trPr>
          <w:jc w:val="center"/>
        </w:trPr>
        <w:tc>
          <w:tcPr>
            <w:tcW w:w="2681" w:type="dxa"/>
            <w:vAlign w:val="center"/>
          </w:tcPr>
          <w:p w:rsidR="00E769E7" w:rsidRDefault="00E769E7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E769E7" w:rsidRDefault="00E769E7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E769E7" w:rsidRDefault="00E769E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E769E7" w:rsidRDefault="00E769E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E769E7" w:rsidRDefault="00E769E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E769E7" w:rsidRDefault="00E769E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E769E7" w:rsidRDefault="00E769E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E769E7" w:rsidRDefault="00E769E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769E7" w:rsidRDefault="00E769E7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E769E7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69E7" w:rsidRDefault="00E769E7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Creativity</w:t>
            </w:r>
          </w:p>
        </w:tc>
      </w:tr>
      <w:tr w:rsidR="00E769E7" w:rsidTr="00F56EAC">
        <w:trPr>
          <w:jc w:val="center"/>
        </w:trPr>
        <w:tc>
          <w:tcPr>
            <w:tcW w:w="2681" w:type="dxa"/>
            <w:vAlign w:val="center"/>
          </w:tcPr>
          <w:p w:rsidR="00E769E7" w:rsidRDefault="00E769E7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</w:tr>
      <w:tr w:rsidR="00E769E7" w:rsidTr="00F56EAC">
        <w:trPr>
          <w:jc w:val="center"/>
        </w:trPr>
        <w:tc>
          <w:tcPr>
            <w:tcW w:w="2681" w:type="dxa"/>
            <w:vAlign w:val="center"/>
          </w:tcPr>
          <w:p w:rsidR="00E769E7" w:rsidRDefault="00E769E7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</w:tr>
      <w:tr w:rsidR="00E769E7" w:rsidTr="00F56EAC">
        <w:trPr>
          <w:jc w:val="center"/>
        </w:trPr>
        <w:tc>
          <w:tcPr>
            <w:tcW w:w="2681" w:type="dxa"/>
            <w:vAlign w:val="center"/>
          </w:tcPr>
          <w:p w:rsidR="00E769E7" w:rsidRPr="00A20E85" w:rsidRDefault="00E769E7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</w:tr>
      <w:tr w:rsidR="00E769E7" w:rsidTr="00F56EAC">
        <w:trPr>
          <w:jc w:val="center"/>
        </w:trPr>
        <w:tc>
          <w:tcPr>
            <w:tcW w:w="2681" w:type="dxa"/>
            <w:vAlign w:val="center"/>
          </w:tcPr>
          <w:p w:rsidR="00E769E7" w:rsidRDefault="00E769E7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</w:tr>
      <w:tr w:rsidR="00E769E7" w:rsidTr="00F56EAC">
        <w:trPr>
          <w:jc w:val="center"/>
        </w:trPr>
        <w:tc>
          <w:tcPr>
            <w:tcW w:w="2681" w:type="dxa"/>
            <w:vAlign w:val="center"/>
          </w:tcPr>
          <w:p w:rsidR="00E769E7" w:rsidRDefault="00E769E7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</w:tr>
      <w:tr w:rsidR="00E769E7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769E7" w:rsidRDefault="00E769E7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E769E7" w:rsidTr="00F56EAC">
        <w:trPr>
          <w:jc w:val="center"/>
        </w:trPr>
        <w:tc>
          <w:tcPr>
            <w:tcW w:w="2681" w:type="dxa"/>
            <w:vAlign w:val="center"/>
          </w:tcPr>
          <w:p w:rsidR="00E769E7" w:rsidRDefault="00E769E7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769E7" w:rsidRDefault="00E769E7">
            <w:pPr>
              <w:ind w:hanging="2"/>
            </w:pPr>
            <w:r>
              <w:t>-</w:t>
            </w:r>
          </w:p>
        </w:tc>
      </w:tr>
      <w:tr w:rsidR="00E769E7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E769E7" w:rsidRDefault="00E769E7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E769E7" w:rsidRDefault="00E769E7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E769E7" w:rsidRDefault="00E769E7">
            <w:pPr>
              <w:ind w:hanging="2"/>
              <w:jc w:val="center"/>
            </w:pPr>
            <w:r>
              <w:t>1</w:t>
            </w:r>
          </w:p>
        </w:tc>
      </w:tr>
    </w:tbl>
    <w:p w:rsidR="00E769E7" w:rsidRDefault="00E769E7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E769E7" w:rsidRDefault="00E769E7">
      <w:pPr>
        <w:spacing w:before="4" w:after="200"/>
        <w:ind w:hanging="2"/>
        <w:jc w:val="center"/>
        <w:rPr>
          <w:b/>
        </w:rPr>
      </w:pPr>
    </w:p>
    <w:p w:rsidR="00E769E7" w:rsidRDefault="00E769E7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lastRenderedPageBreak/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69E7" w:rsidRDefault="00E769E7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E769E7" w:rsidRPr="00E26B19" w:rsidRDefault="00E769E7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E769E7" w:rsidRPr="00457A78" w:rsidRDefault="00E769E7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E769E7" w:rsidRPr="00E26B19" w:rsidRDefault="00E769E7" w:rsidP="00234D82">
      <w:pPr>
        <w:pStyle w:val="3"/>
        <w:rPr>
          <w:i/>
          <w:lang w:val="en-US"/>
        </w:rPr>
      </w:pPr>
      <w:r w:rsidRPr="00E26B19">
        <w:rPr>
          <w:lang w:val="en-US"/>
        </w:rPr>
        <w:t>Conclusions</w:t>
      </w:r>
    </w:p>
    <w:p w:rsidR="00E769E7" w:rsidRPr="006D7BB9" w:rsidRDefault="00E769E7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E769E7" w:rsidRPr="004B656A" w:rsidRDefault="00E769E7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E769E7" w:rsidRDefault="00E769E7" w:rsidP="00C22899">
      <w:pPr>
        <w:pStyle w:val="2"/>
        <w:rPr>
          <w:i/>
        </w:rPr>
      </w:pPr>
      <w:r>
        <w:lastRenderedPageBreak/>
        <w:t xml:space="preserve">References </w:t>
      </w:r>
    </w:p>
    <w:p w:rsidR="00E769E7" w:rsidRDefault="00E769E7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E769E7" w:rsidRPr="00B67A83" w:rsidRDefault="00E769E7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E769E7" w:rsidRPr="00B67A83" w:rsidRDefault="00E769E7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E769E7" w:rsidRPr="00B67A83" w:rsidRDefault="00E769E7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E769E7" w:rsidRDefault="00E769E7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E769E7" w:rsidRDefault="00E769E7" w:rsidP="00C22899">
      <w:pPr>
        <w:pStyle w:val="2"/>
      </w:pPr>
      <w:r>
        <w:t>Information about the authors</w:t>
      </w:r>
    </w:p>
    <w:p w:rsidR="00E769E7" w:rsidRDefault="00E769E7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E769E7" w:rsidRDefault="00E769E7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E769E7" w:rsidRPr="000C516C" w:rsidRDefault="00E769E7" w:rsidP="000C516C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t>Информация об авторах</w:t>
      </w:r>
    </w:p>
    <w:p w:rsidR="00E769E7" w:rsidRPr="000C516C" w:rsidRDefault="00E769E7" w:rsidP="000C516C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E769E7" w:rsidRPr="000C516C" w:rsidRDefault="00E769E7" w:rsidP="000C516C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</w:t>
      </w:r>
      <w:r w:rsidRPr="000C516C">
        <w:rPr>
          <w:color w:val="FF0000"/>
          <w:lang w:val="ru-RU"/>
        </w:rPr>
        <w:lastRenderedPageBreak/>
        <w:t xml:space="preserve">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E769E7" w:rsidRDefault="00E769E7" w:rsidP="00BB30AD">
      <w:pPr>
        <w:pStyle w:val="2"/>
      </w:pPr>
      <w:r>
        <w:t>Contribution of the authors</w:t>
      </w:r>
    </w:p>
    <w:p w:rsidR="00E769E7" w:rsidRDefault="00E769E7" w:rsidP="004B656A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E769E7" w:rsidRDefault="00E769E7" w:rsidP="004B656A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E769E7" w:rsidRDefault="00E769E7" w:rsidP="004B656A">
      <w:pPr>
        <w:jc w:val="both"/>
      </w:pPr>
      <w:r>
        <w:t>All authors participated in the discussion of the results and approved the final text of the manuscript.</w:t>
      </w:r>
    </w:p>
    <w:p w:rsidR="00E769E7" w:rsidRPr="00B860B5" w:rsidRDefault="00E769E7" w:rsidP="000C516C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B860B5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E769E7" w:rsidRDefault="00E769E7" w:rsidP="000C516C">
      <w:pPr>
        <w:jc w:val="both"/>
      </w:pPr>
      <w:r w:rsidRPr="000C516C">
        <w:rPr>
          <w:color w:val="FF0000"/>
        </w:rPr>
        <w:t>[…]</w:t>
      </w:r>
    </w:p>
    <w:p w:rsidR="00E769E7" w:rsidRDefault="00E769E7" w:rsidP="00A56EFF">
      <w:pPr>
        <w:pStyle w:val="2"/>
      </w:pPr>
      <w:r>
        <w:t>Conflict of interest</w:t>
      </w:r>
    </w:p>
    <w:p w:rsidR="00E769E7" w:rsidRDefault="00E769E7" w:rsidP="00A56EFF">
      <w:pPr>
        <w:spacing w:before="240" w:after="240"/>
        <w:jc w:val="both"/>
      </w:pPr>
      <w:r>
        <w:t>The authors declare no conflict of interest.</w:t>
      </w:r>
    </w:p>
    <w:p w:rsidR="00E769E7" w:rsidRPr="00B860B5" w:rsidRDefault="00E769E7" w:rsidP="000C516C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B860B5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E769E7" w:rsidRDefault="00E769E7" w:rsidP="000C516C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E769E7" w:rsidRDefault="00E769E7" w:rsidP="0005670F">
      <w:pPr>
        <w:pStyle w:val="2"/>
      </w:pPr>
      <w:r>
        <w:t>Ethics statement</w:t>
      </w:r>
    </w:p>
    <w:p w:rsidR="00E769E7" w:rsidRDefault="00E769E7" w:rsidP="004B656A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E769E7" w:rsidRPr="006C2B28" w:rsidRDefault="00E769E7" w:rsidP="006C2B28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E769E7" w:rsidRPr="006C2B28" w:rsidRDefault="00E769E7" w:rsidP="006C2B28">
      <w:pPr>
        <w:jc w:val="both"/>
        <w:rPr>
          <w:color w:val="FF0000"/>
          <w:lang w:val="en-US"/>
        </w:rPr>
      </w:pPr>
      <w:r w:rsidRPr="006C2B28">
        <w:rPr>
          <w:color w:val="FF0000"/>
          <w:lang w:val="en-US"/>
        </w:rPr>
        <w:t>[…]</w:t>
      </w:r>
    </w:p>
    <w:p w:rsidR="00E769E7" w:rsidRPr="004B656A" w:rsidRDefault="00E769E7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E769E7" w:rsidRPr="00EF057E" w:rsidTr="003279FB">
        <w:trPr>
          <w:cantSplit/>
        </w:trPr>
        <w:tc>
          <w:tcPr>
            <w:tcW w:w="2500" w:type="pct"/>
          </w:tcPr>
          <w:p w:rsidR="00E769E7" w:rsidRPr="00EF057E" w:rsidRDefault="00E769E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769E7" w:rsidRPr="00EF057E" w:rsidRDefault="00E769E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E769E7" w:rsidRPr="00EF057E" w:rsidTr="003279FB">
        <w:trPr>
          <w:cantSplit/>
        </w:trPr>
        <w:tc>
          <w:tcPr>
            <w:tcW w:w="2500" w:type="pct"/>
          </w:tcPr>
          <w:p w:rsidR="00E769E7" w:rsidRPr="00EF057E" w:rsidRDefault="00E769E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769E7" w:rsidRPr="00EF057E" w:rsidRDefault="00E769E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E769E7" w:rsidRPr="00EF057E" w:rsidTr="003279FB">
        <w:trPr>
          <w:cantSplit/>
        </w:trPr>
        <w:tc>
          <w:tcPr>
            <w:tcW w:w="2500" w:type="pct"/>
          </w:tcPr>
          <w:p w:rsidR="00E769E7" w:rsidRPr="00EF057E" w:rsidRDefault="00E769E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769E7" w:rsidRPr="00EF057E" w:rsidRDefault="00E769E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E769E7" w:rsidRPr="0021082C" w:rsidTr="003279FB">
        <w:trPr>
          <w:cantSplit/>
        </w:trPr>
        <w:tc>
          <w:tcPr>
            <w:tcW w:w="2500" w:type="pct"/>
          </w:tcPr>
          <w:p w:rsidR="00E769E7" w:rsidRPr="00EF057E" w:rsidRDefault="00E769E7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E769E7" w:rsidRPr="0021082C" w:rsidRDefault="00E769E7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E769E7" w:rsidRDefault="00E769E7" w:rsidP="004F6E5A">
      <w:pPr>
        <w:rPr>
          <w:color w:val="FF0000"/>
        </w:rPr>
        <w:sectPr w:rsidR="00E769E7" w:rsidSect="00E769E7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E769E7" w:rsidRPr="0021082C" w:rsidRDefault="00E769E7" w:rsidP="004F6E5A">
      <w:pPr>
        <w:rPr>
          <w:color w:val="FF0000"/>
        </w:rPr>
      </w:pPr>
    </w:p>
    <w:sectPr w:rsidR="00E769E7" w:rsidRPr="0021082C" w:rsidSect="00E769E7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EB9" w:rsidRDefault="00E67EB9">
      <w:r>
        <w:separator/>
      </w:r>
    </w:p>
  </w:endnote>
  <w:endnote w:type="continuationSeparator" w:id="0">
    <w:p w:rsidR="00E67EB9" w:rsidRDefault="00E6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E7" w:rsidRPr="007F1878" w:rsidRDefault="00E769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E7" w:rsidRPr="00073F9D" w:rsidRDefault="00E769E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E769E7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E769E7" w:rsidRPr="004F081C" w:rsidRDefault="00E769E7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E769E7" w:rsidRPr="0059725C" w:rsidRDefault="00E769E7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E769E7" w:rsidRPr="0059725C" w:rsidRDefault="00E769E7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E769E7" w:rsidRDefault="00E769E7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7F1878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B860B5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Pr="00073F9D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E769E7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tbl>
    <w:tblPr>
      <w:tblW w:w="5000" w:type="pct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021"/>
      <w:gridCol w:w="2621"/>
    </w:tblGrid>
    <w:tr w:rsidR="00F81C06" w:rsidRPr="0059725C" w:rsidTr="00012A67"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4F081C" w:rsidRDefault="00F81C06" w:rsidP="004F081C">
          <w:pPr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© Иванов В.А., Петров В.Н., 20</w:t>
          </w:r>
          <w:r w:rsidRPr="004F081C">
            <w:rPr>
              <w:rFonts w:ascii="Times New Roman" w:eastAsia="Times New Roman" w:hAnsi="Times New Roman"/>
              <w:sz w:val="20"/>
              <w:szCs w:val="20"/>
              <w:shd w:val="clear" w:color="auto" w:fill="F8F9FA"/>
              <w:lang w:val="ru-RU"/>
            </w:rPr>
            <w:t>__</w:t>
          </w:r>
        </w:p>
      </w:tc>
      <w:tc>
        <w:tcPr>
          <w:tcW w:w="0" w:type="auto"/>
          <w:tcMar>
            <w:top w:w="100" w:type="dxa"/>
            <w:left w:w="100" w:type="dxa"/>
            <w:bottom w:w="100" w:type="dxa"/>
            <w:right w:w="100" w:type="dxa"/>
          </w:tcMar>
          <w:hideMark/>
        </w:tcPr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>
            <w:rPr>
              <w:noProof/>
              <w:color w:val="FF0000"/>
              <w:sz w:val="20"/>
              <w:szCs w:val="20"/>
              <w:shd w:val="clear" w:color="auto" w:fill="F8F9FA"/>
              <w:lang w:val="ru-RU"/>
            </w:rPr>
            <w:drawing>
              <wp:inline distT="114300" distB="114300" distL="114300" distR="114300" wp14:anchorId="1FE121EE" wp14:editId="1ADF73D1">
                <wp:extent cx="608647" cy="213027"/>
                <wp:effectExtent l="0" t="0" r="0" b="0"/>
                <wp:docPr id="49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647" cy="2130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F81C06" w:rsidRPr="0059725C" w:rsidRDefault="00F81C06" w:rsidP="0059725C">
          <w:pPr>
            <w:jc w:val="right"/>
            <w:rPr>
              <w:rFonts w:ascii="Times New Roman" w:eastAsia="Times New Roman" w:hAnsi="Times New Roman"/>
              <w:lang w:val="ru-RU"/>
            </w:rPr>
          </w:pPr>
          <w:r w:rsidRPr="0059725C">
            <w:rPr>
              <w:rFonts w:ascii="Times New Roman" w:eastAsia="Times New Roman" w:hAnsi="Times New Roman"/>
              <w:color w:val="FF0000"/>
              <w:sz w:val="20"/>
              <w:szCs w:val="20"/>
              <w:shd w:val="clear" w:color="auto" w:fill="F8F9FA"/>
              <w:lang w:val="ru-RU"/>
            </w:rPr>
            <w:t>CC-BY-NC</w:t>
          </w:r>
        </w:p>
      </w:tc>
    </w:tr>
  </w:tbl>
  <w:p w:rsidR="00F81C06" w:rsidRDefault="00F81C06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EB9" w:rsidRDefault="00E67EB9">
      <w:r>
        <w:separator/>
      </w:r>
    </w:p>
  </w:footnote>
  <w:footnote w:type="continuationSeparator" w:id="0">
    <w:p w:rsidR="00E67EB9" w:rsidRDefault="00E67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E7" w:rsidRDefault="00E769E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E769E7" w:rsidRPr="00B93B3E" w:rsidTr="00012A67">
      <w:tc>
        <w:tcPr>
          <w:tcW w:w="5494" w:type="dxa"/>
        </w:tcPr>
        <w:p w:rsidR="00E769E7" w:rsidRPr="00B93B3E" w:rsidRDefault="00E769E7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E769E7" w:rsidRPr="00B93B3E" w:rsidRDefault="00E769E7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E769E7" w:rsidRPr="00B93B3E" w:rsidRDefault="00E769E7" w:rsidP="00F66F94">
          <w:pPr>
            <w:rPr>
              <w:color w:val="FF0000"/>
              <w:sz w:val="20"/>
              <w:szCs w:val="20"/>
              <w:lang w:val="ru-RU"/>
            </w:rPr>
          </w:pPr>
          <w:r w:rsidRPr="00E769E7">
            <w:rPr>
              <w:i/>
              <w:noProof/>
              <w:color w:val="FF0000"/>
              <w:sz w:val="20"/>
              <w:szCs w:val="20"/>
              <w:lang w:val="ru-RU"/>
            </w:rPr>
            <w:t>Экстремальная психология и безопасность личности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Pr="00B93B3E">
            <w:rPr>
              <w:color w:val="FF0000"/>
              <w:sz w:val="20"/>
              <w:szCs w:val="20"/>
              <w:lang w:val="ru-RU"/>
            </w:rPr>
            <w:t>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(_)</w:t>
          </w:r>
          <w:r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E769E7" w:rsidRPr="00B93B3E" w:rsidRDefault="00E769E7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E769E7" w:rsidRPr="00B93B3E" w:rsidRDefault="00E769E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E769E7" w:rsidRPr="00B93B3E" w:rsidRDefault="00E769E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E769E7" w:rsidRPr="00B93B3E" w:rsidRDefault="00E769E7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Extreme Psychology and Personal Safety</w:t>
          </w:r>
          <w:r w:rsidRPr="00B93B3E">
            <w:rPr>
              <w:i/>
              <w:color w:val="FF0000"/>
              <w:sz w:val="20"/>
              <w:szCs w:val="20"/>
            </w:rPr>
            <w:t>, _</w:t>
          </w:r>
          <w:r w:rsidRPr="00B93B3E">
            <w:rPr>
              <w:i/>
              <w:color w:val="FF0000"/>
              <w:sz w:val="20"/>
            </w:rPr>
            <w:t>_</w:t>
          </w:r>
          <w:r w:rsidRPr="00B93B3E">
            <w:rPr>
              <w:color w:val="FF0000"/>
              <w:sz w:val="20"/>
              <w:szCs w:val="20"/>
            </w:rPr>
            <w:t>(_)</w:t>
          </w:r>
          <w:r w:rsidRPr="00B93B3E">
            <w:rPr>
              <w:i/>
              <w:color w:val="FF0000"/>
              <w:sz w:val="20"/>
              <w:szCs w:val="20"/>
            </w:rPr>
            <w:t>,</w:t>
          </w:r>
          <w:r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E769E7" w:rsidRPr="00B93B3E" w:rsidRDefault="00E769E7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E769E7" w:rsidRPr="00B93B3E" w:rsidTr="00012A67">
      <w:tc>
        <w:tcPr>
          <w:tcW w:w="5494" w:type="dxa"/>
        </w:tcPr>
        <w:p w:rsidR="00E769E7" w:rsidRPr="00B860B5" w:rsidRDefault="00E769E7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E769E7" w:rsidRPr="00B93B3E" w:rsidRDefault="00E769E7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E769E7" w:rsidRDefault="00E769E7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9E7" w:rsidRDefault="00E769E7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E769E7" w:rsidRPr="00E25BFE" w:rsidTr="003D47C2">
      <w:tc>
        <w:tcPr>
          <w:tcW w:w="5494" w:type="dxa"/>
        </w:tcPr>
        <w:p w:rsidR="00E769E7" w:rsidRPr="00E25BFE" w:rsidRDefault="00E769E7" w:rsidP="00F66F94">
          <w:pPr>
            <w:rPr>
              <w:color w:val="FF0000"/>
              <w:sz w:val="20"/>
              <w:szCs w:val="20"/>
              <w:lang w:val="ru-RU"/>
            </w:rPr>
          </w:pPr>
          <w:r w:rsidRPr="00E769E7">
            <w:rPr>
              <w:noProof/>
              <w:color w:val="FF0000"/>
              <w:sz w:val="20"/>
              <w:szCs w:val="20"/>
              <w:lang w:val="ru-RU"/>
            </w:rPr>
            <w:t>Экстремальная психология и безопасность личности</w:t>
          </w:r>
        </w:p>
        <w:p w:rsidR="00E769E7" w:rsidRPr="00E25BFE" w:rsidRDefault="00E769E7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E769E7" w:rsidRPr="00B860B5" w:rsidRDefault="00E769E7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Pr="0063029F">
            <w:rPr>
              <w:noProof/>
              <w:color w:val="FF0000"/>
              <w:sz w:val="20"/>
              <w:szCs w:val="20"/>
              <w:lang w:val="en-US"/>
            </w:rPr>
            <w:t>10.17759/epps.2025020___</w:t>
          </w:r>
        </w:p>
        <w:p w:rsidR="00E769E7" w:rsidRPr="006F5B8D" w:rsidRDefault="00E769E7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Pr="0063029F">
            <w:rPr>
              <w:noProof/>
              <w:color w:val="FF0000"/>
              <w:sz w:val="20"/>
              <w:szCs w:val="20"/>
            </w:rPr>
            <w:t>3034-3666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E769E7" w:rsidRPr="00E25BFE" w:rsidRDefault="00E769E7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Extreme Psychology and Personal Safety</w:t>
          </w:r>
        </w:p>
        <w:p w:rsidR="00E769E7" w:rsidRPr="00E25BFE" w:rsidRDefault="00E769E7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E769E7" w:rsidRPr="00E25BFE" w:rsidRDefault="00E769E7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Pr="0063029F">
            <w:rPr>
              <w:noProof/>
              <w:color w:val="FF0000"/>
              <w:sz w:val="20"/>
              <w:szCs w:val="20"/>
            </w:rPr>
            <w:t>10.17759/epps.2025020___</w:t>
          </w:r>
        </w:p>
        <w:p w:rsidR="00E769E7" w:rsidRPr="00E25BFE" w:rsidRDefault="00E769E7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Pr="0063029F">
            <w:rPr>
              <w:noProof/>
              <w:color w:val="FF0000"/>
              <w:sz w:val="20"/>
              <w:szCs w:val="20"/>
            </w:rPr>
            <w:t>3034-3666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E769E7" w:rsidRDefault="00E769E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fff1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198"/>
      <w:gridCol w:w="4444"/>
    </w:tblGrid>
    <w:tr w:rsidR="00F81C06" w:rsidRPr="00B93B3E" w:rsidTr="00012A67">
      <w:tc>
        <w:tcPr>
          <w:tcW w:w="5494" w:type="dxa"/>
        </w:tcPr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B93B3E">
            <w:rPr>
              <w:sz w:val="20"/>
              <w:szCs w:val="20"/>
              <w:lang w:val="ru-RU"/>
            </w:rPr>
            <w:t xml:space="preserve">Иванов В.А., Петров В.Н. </w:t>
          </w:r>
          <w:r w:rsidRPr="00B93B3E">
            <w:rPr>
              <w:color w:val="FF0000"/>
              <w:sz w:val="20"/>
              <w:szCs w:val="20"/>
              <w:lang w:val="ru-RU"/>
            </w:rPr>
            <w:t>(20_</w:t>
          </w:r>
          <w:r w:rsidRPr="00B93B3E">
            <w:rPr>
              <w:color w:val="FF0000"/>
              <w:sz w:val="20"/>
              <w:lang w:val="ru-RU"/>
            </w:rPr>
            <w:t>_</w:t>
          </w:r>
          <w:r w:rsidRPr="00B93B3E">
            <w:rPr>
              <w:color w:val="FF0000"/>
              <w:sz w:val="20"/>
              <w:szCs w:val="20"/>
              <w:lang w:val="ru-RU"/>
            </w:rPr>
            <w:t>)</w:t>
          </w:r>
        </w:p>
        <w:p w:rsidR="00F81C06" w:rsidRPr="00B93B3E" w:rsidRDefault="00F81C06" w:rsidP="00F66F94">
          <w:pPr>
            <w:rPr>
              <w:sz w:val="20"/>
              <w:szCs w:val="20"/>
              <w:lang w:val="ru-RU"/>
            </w:rPr>
          </w:pPr>
          <w:r w:rsidRPr="009635B8">
            <w:rPr>
              <w:sz w:val="20"/>
              <w:szCs w:val="20"/>
              <w:lang w:val="ru-RU"/>
            </w:rPr>
            <w:t>Предикторы успешного завершения обучения в университете и общего благополучия выпускников вузов</w:t>
          </w:r>
        </w:p>
        <w:p w:rsidR="00F81C06" w:rsidRPr="00B93B3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B860B5">
            <w:rPr>
              <w:i/>
              <w:noProof/>
              <w:color w:val="FF0000"/>
              <w:sz w:val="20"/>
              <w:szCs w:val="20"/>
              <w:lang w:val="ru-RU"/>
            </w:rPr>
            <w:t>Экстремальная психология и безопасность личности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 xml:space="preserve">, 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lang w:val="ru-RU"/>
            </w:rPr>
            <w:t>_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  <w:lang w:val="ru-RU"/>
            </w:rPr>
            <w:t>,</w:t>
          </w:r>
          <w:r w:rsidR="00F81C06" w:rsidRPr="00B93B3E">
            <w:rPr>
              <w:color w:val="FF0000"/>
              <w:sz w:val="20"/>
              <w:szCs w:val="20"/>
              <w:lang w:val="ru-RU"/>
            </w:rPr>
            <w:t xml:space="preserve"> _—_.</w:t>
          </w:r>
        </w:p>
        <w:p w:rsidR="00F81C06" w:rsidRPr="00B93B3E" w:rsidRDefault="00F81C06" w:rsidP="00F66F94">
          <w:pPr>
            <w:jc w:val="center"/>
            <w:rPr>
              <w:color w:val="FF0000"/>
              <w:sz w:val="20"/>
              <w:lang w:val="ru-RU"/>
            </w:rPr>
          </w:pPr>
          <w:r w:rsidRPr="00B93B3E">
            <w:rPr>
              <w:color w:val="FF0000"/>
              <w:sz w:val="20"/>
              <w:lang w:val="ru-RU"/>
            </w:rPr>
            <w:t xml:space="preserve"> </w:t>
          </w: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  <w:r w:rsidRPr="00B93B3E">
            <w:rPr>
              <w:sz w:val="20"/>
              <w:szCs w:val="20"/>
              <w:lang w:val="it-IT"/>
            </w:rPr>
            <w:t xml:space="preserve">Ivanov V.A., Petrov V.N. </w:t>
          </w:r>
          <w:r w:rsidRPr="00B93B3E">
            <w:rPr>
              <w:color w:val="FF0000"/>
              <w:sz w:val="20"/>
              <w:szCs w:val="20"/>
              <w:lang w:val="it-IT"/>
            </w:rPr>
            <w:t>(20_</w:t>
          </w:r>
          <w:r w:rsidRPr="00B93B3E">
            <w:rPr>
              <w:color w:val="FF0000"/>
              <w:sz w:val="20"/>
              <w:lang w:val="it-IT"/>
            </w:rPr>
            <w:t>_</w:t>
          </w:r>
          <w:r w:rsidRPr="00B93B3E">
            <w:rPr>
              <w:color w:val="FF0000"/>
              <w:sz w:val="20"/>
              <w:szCs w:val="20"/>
              <w:lang w:val="it-IT"/>
            </w:rPr>
            <w:t>)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</w:rPr>
          </w:pPr>
          <w:r w:rsidRPr="009635B8">
            <w:rPr>
              <w:sz w:val="20"/>
              <w:szCs w:val="20"/>
            </w:rPr>
            <w:t>Predictors of successful graduation and overall well-being of graduates</w:t>
          </w:r>
        </w:p>
        <w:p w:rsidR="00F81C06" w:rsidRPr="00B93B3E" w:rsidRDefault="00B860B5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63029F">
            <w:rPr>
              <w:i/>
              <w:noProof/>
              <w:color w:val="FF0000"/>
              <w:sz w:val="20"/>
              <w:szCs w:val="20"/>
            </w:rPr>
            <w:t>Extreme Psychology and Personal Safety</w:t>
          </w:r>
          <w:r w:rsidR="00F81C06" w:rsidRPr="00B93B3E">
            <w:rPr>
              <w:i/>
              <w:color w:val="FF0000"/>
              <w:sz w:val="20"/>
              <w:szCs w:val="20"/>
            </w:rPr>
            <w:t>, _</w:t>
          </w:r>
          <w:r w:rsidR="00F81C06" w:rsidRPr="00B93B3E">
            <w:rPr>
              <w:i/>
              <w:color w:val="FF0000"/>
              <w:sz w:val="20"/>
            </w:rPr>
            <w:t>_</w:t>
          </w:r>
          <w:r w:rsidR="00F81C06" w:rsidRPr="00B93B3E">
            <w:rPr>
              <w:color w:val="FF0000"/>
              <w:sz w:val="20"/>
              <w:szCs w:val="20"/>
            </w:rPr>
            <w:t>(_)</w:t>
          </w:r>
          <w:r w:rsidR="00F81C06" w:rsidRPr="00B93B3E">
            <w:rPr>
              <w:i/>
              <w:color w:val="FF0000"/>
              <w:sz w:val="20"/>
              <w:szCs w:val="20"/>
            </w:rPr>
            <w:t>,</w:t>
          </w:r>
          <w:r w:rsidR="00F81C06" w:rsidRPr="00B93B3E">
            <w:rPr>
              <w:color w:val="FF0000"/>
              <w:sz w:val="20"/>
              <w:szCs w:val="20"/>
            </w:rPr>
            <w:t xml:space="preserve"> _—_.</w:t>
          </w:r>
        </w:p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color w:val="FF0000"/>
              <w:sz w:val="20"/>
              <w:szCs w:val="20"/>
            </w:rPr>
          </w:pPr>
          <w:r w:rsidRPr="00B93B3E">
            <w:rPr>
              <w:color w:val="FF0000"/>
              <w:sz w:val="20"/>
              <w:szCs w:val="20"/>
            </w:rPr>
            <w:t xml:space="preserve"> </w:t>
          </w:r>
        </w:p>
      </w:tc>
    </w:tr>
    <w:tr w:rsidR="00F81C06" w:rsidRPr="00B93B3E" w:rsidTr="00012A67">
      <w:tc>
        <w:tcPr>
          <w:tcW w:w="5494" w:type="dxa"/>
        </w:tcPr>
        <w:p w:rsidR="00F81C06" w:rsidRPr="00B860B5" w:rsidRDefault="00F81C06" w:rsidP="00F66F94">
          <w:pPr>
            <w:rPr>
              <w:sz w:val="20"/>
              <w:szCs w:val="20"/>
              <w:lang w:val="en-US"/>
            </w:rPr>
          </w:pPr>
        </w:p>
      </w:tc>
      <w:tc>
        <w:tcPr>
          <w:tcW w:w="4696" w:type="dxa"/>
        </w:tcPr>
        <w:p w:rsidR="00F81C06" w:rsidRPr="00B93B3E" w:rsidRDefault="00F81C06" w:rsidP="00B93B3E">
          <w:pPr>
            <w:tabs>
              <w:tab w:val="center" w:pos="4677"/>
              <w:tab w:val="right" w:pos="9355"/>
            </w:tabs>
            <w:jc w:val="right"/>
            <w:rPr>
              <w:sz w:val="20"/>
              <w:szCs w:val="20"/>
              <w:lang w:val="it-IT"/>
            </w:rPr>
          </w:pP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06" w:rsidRDefault="00F81C06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fff2"/>
      <w:tblW w:w="5000" w:type="pct"/>
      <w:tblInd w:w="-108" w:type="dxa"/>
      <w:tblLayout w:type="fixed"/>
      <w:tblLook w:val="0400" w:firstRow="0" w:lastRow="0" w:firstColumn="0" w:lastColumn="0" w:noHBand="0" w:noVBand="1"/>
    </w:tblPr>
    <w:tblGrid>
      <w:gridCol w:w="5214"/>
      <w:gridCol w:w="4428"/>
    </w:tblGrid>
    <w:tr w:rsidR="00F81C06" w:rsidRPr="00E25BFE" w:rsidTr="003D47C2">
      <w:tc>
        <w:tcPr>
          <w:tcW w:w="5494" w:type="dxa"/>
        </w:tcPr>
        <w:p w:rsidR="00F81C06" w:rsidRPr="00E25BFE" w:rsidRDefault="00B860B5" w:rsidP="00F66F94">
          <w:pPr>
            <w:rPr>
              <w:color w:val="FF0000"/>
              <w:sz w:val="20"/>
              <w:szCs w:val="20"/>
              <w:lang w:val="ru-RU"/>
            </w:rPr>
          </w:pPr>
          <w:r w:rsidRPr="0063029F">
            <w:rPr>
              <w:noProof/>
              <w:color w:val="FF0000"/>
              <w:sz w:val="20"/>
              <w:szCs w:val="20"/>
              <w:lang w:val="en-US"/>
            </w:rPr>
            <w:t>Экстремальная психология и безопасность личности</w:t>
          </w:r>
        </w:p>
        <w:p w:rsidR="00F81C06" w:rsidRPr="00E25BFE" w:rsidRDefault="00F81C06" w:rsidP="00F66F94">
          <w:pPr>
            <w:rPr>
              <w:color w:val="FF0000"/>
              <w:sz w:val="20"/>
              <w:szCs w:val="20"/>
              <w:lang w:val="ru-RU"/>
            </w:rPr>
          </w:pPr>
          <w:r w:rsidRPr="00E25BFE">
            <w:rPr>
              <w:color w:val="FF0000"/>
              <w:sz w:val="20"/>
              <w:szCs w:val="20"/>
              <w:lang w:val="ru-RU"/>
            </w:rPr>
            <w:t xml:space="preserve">202_. </w:t>
          </w:r>
          <w:r w:rsidRPr="00E25BFE">
            <w:rPr>
              <w:i/>
              <w:color w:val="FF0000"/>
              <w:sz w:val="20"/>
              <w:lang w:val="ru-RU"/>
            </w:rPr>
            <w:t>_</w:t>
          </w:r>
          <w:r w:rsidRPr="00E25BFE">
            <w:rPr>
              <w:i/>
              <w:color w:val="FF0000"/>
              <w:sz w:val="20"/>
              <w:szCs w:val="20"/>
              <w:lang w:val="ru-RU"/>
            </w:rPr>
            <w:t>_</w:t>
          </w:r>
          <w:r w:rsidRPr="00E25BFE">
            <w:rPr>
              <w:color w:val="FF0000"/>
              <w:sz w:val="20"/>
              <w:szCs w:val="20"/>
              <w:lang w:val="ru-RU"/>
            </w:rPr>
            <w:t>(_), _–_.</w:t>
          </w:r>
        </w:p>
        <w:p w:rsidR="00F81C06" w:rsidRPr="00B860B5" w:rsidRDefault="00F81C06" w:rsidP="00F66F94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https</w:t>
          </w:r>
          <w:r w:rsidRPr="00B860B5">
            <w:rPr>
              <w:color w:val="FF0000"/>
              <w:sz w:val="20"/>
              <w:szCs w:val="20"/>
              <w:lang w:val="en-US"/>
            </w:rPr>
            <w:t>://</w:t>
          </w:r>
          <w:proofErr w:type="spellStart"/>
          <w:r w:rsidRPr="00E25BFE">
            <w:rPr>
              <w:color w:val="FF0000"/>
              <w:sz w:val="20"/>
              <w:szCs w:val="20"/>
            </w:rPr>
            <w:t>doi</w:t>
          </w:r>
          <w:proofErr w:type="spellEnd"/>
          <w:r w:rsidRPr="00B860B5">
            <w:rPr>
              <w:color w:val="FF0000"/>
              <w:sz w:val="20"/>
              <w:szCs w:val="20"/>
              <w:lang w:val="en-US"/>
            </w:rPr>
            <w:t>.</w:t>
          </w:r>
          <w:r w:rsidRPr="00E25BFE">
            <w:rPr>
              <w:color w:val="FF0000"/>
              <w:sz w:val="20"/>
              <w:szCs w:val="20"/>
            </w:rPr>
            <w:t>org</w:t>
          </w:r>
          <w:r w:rsidRPr="00B860B5">
            <w:rPr>
              <w:color w:val="FF0000"/>
              <w:sz w:val="20"/>
              <w:szCs w:val="20"/>
              <w:lang w:val="en-US"/>
            </w:rPr>
            <w:t>/</w:t>
          </w:r>
          <w:r w:rsidR="00B860B5" w:rsidRPr="0063029F">
            <w:rPr>
              <w:noProof/>
              <w:color w:val="FF0000"/>
              <w:sz w:val="20"/>
              <w:szCs w:val="20"/>
              <w:lang w:val="en-US"/>
            </w:rPr>
            <w:t>10.17759/epps.2025020___</w:t>
          </w:r>
        </w:p>
        <w:p w:rsidR="00F81C06" w:rsidRPr="006F5B8D" w:rsidRDefault="00F81C06" w:rsidP="004F139F">
          <w:pPr>
            <w:rPr>
              <w:color w:val="FF0000"/>
              <w:sz w:val="20"/>
              <w:szCs w:val="20"/>
              <w:lang w:val="en-US"/>
            </w:rPr>
          </w:pPr>
          <w:r w:rsidRPr="00E25BFE">
            <w:rPr>
              <w:color w:val="FF0000"/>
              <w:sz w:val="20"/>
              <w:szCs w:val="20"/>
            </w:rPr>
            <w:t>ISSN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</w:t>
          </w:r>
          <w:r w:rsidR="00B860B5" w:rsidRPr="0063029F">
            <w:rPr>
              <w:noProof/>
              <w:color w:val="FF0000"/>
              <w:sz w:val="20"/>
              <w:szCs w:val="20"/>
            </w:rPr>
            <w:t>3034-3666</w:t>
          </w:r>
          <w:r w:rsidRPr="006F5B8D">
            <w:rPr>
              <w:color w:val="FF0000"/>
              <w:sz w:val="20"/>
              <w:szCs w:val="20"/>
              <w:lang w:val="en-US"/>
            </w:rPr>
            <w:t xml:space="preserve"> (</w:t>
          </w:r>
          <w:r w:rsidRPr="00E25BFE">
            <w:rPr>
              <w:color w:val="FF0000"/>
              <w:sz w:val="20"/>
              <w:szCs w:val="20"/>
            </w:rPr>
            <w:t>online</w:t>
          </w:r>
          <w:r w:rsidRPr="006F5B8D">
            <w:rPr>
              <w:color w:val="FF0000"/>
              <w:sz w:val="20"/>
              <w:szCs w:val="20"/>
              <w:lang w:val="en-US"/>
            </w:rPr>
            <w:t>)</w:t>
          </w:r>
        </w:p>
      </w:tc>
      <w:tc>
        <w:tcPr>
          <w:tcW w:w="4663" w:type="dxa"/>
        </w:tcPr>
        <w:p w:rsidR="00F81C06" w:rsidRPr="00E25BFE" w:rsidRDefault="00B860B5" w:rsidP="00F66F94">
          <w:pPr>
            <w:jc w:val="right"/>
            <w:rPr>
              <w:color w:val="FF0000"/>
              <w:sz w:val="20"/>
              <w:szCs w:val="20"/>
            </w:rPr>
          </w:pPr>
          <w:r w:rsidRPr="0063029F">
            <w:rPr>
              <w:noProof/>
              <w:color w:val="FF0000"/>
              <w:sz w:val="20"/>
              <w:szCs w:val="20"/>
            </w:rPr>
            <w:t>Extreme Psychology and Personal Safety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202_. </w:t>
          </w:r>
          <w:r w:rsidRPr="00E25BFE">
            <w:rPr>
              <w:i/>
              <w:color w:val="FF0000"/>
              <w:sz w:val="20"/>
              <w:szCs w:val="20"/>
            </w:rPr>
            <w:t>_</w:t>
          </w:r>
          <w:r w:rsidRPr="00E25BFE">
            <w:rPr>
              <w:i/>
              <w:color w:val="FF0000"/>
              <w:sz w:val="20"/>
            </w:rPr>
            <w:t>_</w:t>
          </w:r>
          <w:r w:rsidRPr="00E25BFE">
            <w:rPr>
              <w:color w:val="FF0000"/>
              <w:sz w:val="20"/>
              <w:szCs w:val="20"/>
            </w:rPr>
            <w:t>(_), _–_.</w:t>
          </w:r>
        </w:p>
        <w:p w:rsidR="00F81C06" w:rsidRPr="00E25BFE" w:rsidRDefault="00F81C06" w:rsidP="00F66F94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>https://doi.org/</w:t>
          </w:r>
          <w:r w:rsidR="00B860B5" w:rsidRPr="0063029F">
            <w:rPr>
              <w:noProof/>
              <w:color w:val="FF0000"/>
              <w:sz w:val="20"/>
              <w:szCs w:val="20"/>
            </w:rPr>
            <w:t>10.17759/epps.2025020___</w:t>
          </w:r>
        </w:p>
        <w:p w:rsidR="00F81C06" w:rsidRPr="00E25BFE" w:rsidRDefault="00F81C06" w:rsidP="004F139F">
          <w:pPr>
            <w:jc w:val="right"/>
            <w:rPr>
              <w:color w:val="FF0000"/>
              <w:sz w:val="20"/>
              <w:szCs w:val="20"/>
            </w:rPr>
          </w:pPr>
          <w:r w:rsidRPr="00E25BFE">
            <w:rPr>
              <w:color w:val="FF0000"/>
              <w:sz w:val="20"/>
              <w:szCs w:val="20"/>
            </w:rPr>
            <w:t xml:space="preserve">ISSN </w:t>
          </w:r>
          <w:r w:rsidR="00B860B5" w:rsidRPr="0063029F">
            <w:rPr>
              <w:noProof/>
              <w:color w:val="FF0000"/>
              <w:sz w:val="20"/>
              <w:szCs w:val="20"/>
            </w:rPr>
            <w:t>3034-3666</w:t>
          </w:r>
          <w:r w:rsidRPr="00E25BFE">
            <w:rPr>
              <w:color w:val="FF0000"/>
              <w:sz w:val="20"/>
              <w:szCs w:val="20"/>
            </w:rPr>
            <w:t xml:space="preserve"> (online)</w:t>
          </w:r>
        </w:p>
      </w:tc>
    </w:tr>
  </w:tbl>
  <w:p w:rsidR="00F81C06" w:rsidRDefault="00F81C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0C516C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7C2"/>
    <w:rsid w:val="003D5739"/>
    <w:rsid w:val="003E6FD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017C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B74D4"/>
    <w:rsid w:val="006C2B28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D55ED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860B5"/>
    <w:rsid w:val="00B93B3E"/>
    <w:rsid w:val="00BB30AD"/>
    <w:rsid w:val="00BB492C"/>
    <w:rsid w:val="00BB4EF9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B5BE4"/>
    <w:rsid w:val="00CE3E0F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26B19"/>
    <w:rsid w:val="00E30185"/>
    <w:rsid w:val="00E3294C"/>
    <w:rsid w:val="00E64CE9"/>
    <w:rsid w:val="00E67EB9"/>
    <w:rsid w:val="00E769E7"/>
    <w:rsid w:val="00E9445A"/>
    <w:rsid w:val="00EA7984"/>
    <w:rsid w:val="00EA7E42"/>
    <w:rsid w:val="00EF057E"/>
    <w:rsid w:val="00F0137E"/>
    <w:rsid w:val="00F54429"/>
    <w:rsid w:val="00F56EAC"/>
    <w:rsid w:val="00F66F94"/>
    <w:rsid w:val="00F73C10"/>
    <w:rsid w:val="00F81C06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5AABDFE-49AE-4C9A-9550-1434B695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0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2025-03-19T12:56:00Z</dcterms:created>
  <dcterms:modified xsi:type="dcterms:W3CDTF">2025-03-19T12:56:00Z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