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11C6" w14:textId="6CF42FD6" w:rsidR="00446ABA" w:rsidRDefault="00446ABA" w:rsidP="007976A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Standard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 of</w:t>
      </w:r>
      <w:r w:rsidR="00DD7B9D"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DD7B9D"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onsent of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D7B9D"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r w:rsidR="007976AB"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7976AB"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ubject of</w:t>
      </w:r>
      <w:r w:rsidR="00DD7B9D"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ersonal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ata to the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rocessing of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ersonal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ata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uthorized by the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ubject of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ersonal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ata for </w:t>
      </w:r>
      <w:r w:rsidR="001C2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issemination (</w:t>
      </w:r>
      <w:r w:rsidR="007976AB"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PII</w:t>
      </w:r>
      <w:r w:rsidRPr="0079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7976AB" w:rsidRPr="004323BC" w14:paraId="4D7D12E7" w14:textId="77777777" w:rsidTr="004323BC">
        <w:tc>
          <w:tcPr>
            <w:tcW w:w="9350" w:type="dxa"/>
          </w:tcPr>
          <w:p w14:paraId="13083095" w14:textId="256B1208" w:rsidR="007976AB" w:rsidRPr="004323BC" w:rsidRDefault="007976AB" w:rsidP="0079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I,_</w:t>
            </w:r>
            <w:proofErr w:type="gramEnd"/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3C3C7E80" w14:textId="0EB13F40" w:rsidR="007976AB" w:rsidRPr="004323BC" w:rsidRDefault="007976AB" w:rsidP="00797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AD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ull name)</w:t>
            </w:r>
          </w:p>
          <w:p w14:paraId="3BA53F60" w14:textId="77777777" w:rsidR="007976AB" w:rsidRPr="004323BC" w:rsidRDefault="007976AB" w:rsidP="007976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976AB" w:rsidRPr="004323BC" w14:paraId="20FCD342" w14:textId="77777777" w:rsidTr="004323BC">
        <w:tc>
          <w:tcPr>
            <w:tcW w:w="9350" w:type="dxa"/>
          </w:tcPr>
          <w:p w14:paraId="70DBB990" w14:textId="06A333DF" w:rsidR="007976AB" w:rsidRPr="004323BC" w:rsidRDefault="007976AB" w:rsidP="0079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386AC59F" w14:textId="400E664B" w:rsidR="007976AB" w:rsidRPr="004323BC" w:rsidRDefault="00E762CD" w:rsidP="0079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976AB" w:rsidRPr="004323BC">
              <w:rPr>
                <w:rFonts w:ascii="Times New Roman" w:hAnsi="Times New Roman" w:cs="Times New Roman"/>
                <w:sz w:val="24"/>
                <w:szCs w:val="24"/>
              </w:rPr>
              <w:t>ontact information (telephone number, e-mail address or postal address)</w:t>
            </w:r>
          </w:p>
          <w:p w14:paraId="524AF744" w14:textId="77777777" w:rsidR="007976AB" w:rsidRPr="004323BC" w:rsidRDefault="007976AB" w:rsidP="007976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F91A8C9" w14:textId="1EBA1049" w:rsidR="00446ABA" w:rsidRPr="004323BC" w:rsidRDefault="00446ABA" w:rsidP="0043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give my consent to 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ederal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tate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udgetary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ducational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nstitution of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igher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 xml:space="preserve">ducation "Moscow State </w:t>
      </w:r>
      <w:r w:rsidR="00DD7B9D" w:rsidRPr="004323BC">
        <w:rPr>
          <w:rFonts w:ascii="Times New Roman" w:hAnsi="Times New Roman" w:cs="Times New Roman"/>
          <w:b/>
          <w:bCs/>
          <w:sz w:val="24"/>
          <w:szCs w:val="24"/>
        </w:rPr>
        <w:t>University of Psychology and Education</w:t>
      </w:r>
      <w:r w:rsidRPr="004323B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4323BC">
        <w:rPr>
          <w:rFonts w:ascii="Times New Roman" w:hAnsi="Times New Roman" w:cs="Times New Roman"/>
          <w:sz w:val="24"/>
          <w:szCs w:val="24"/>
        </w:rPr>
        <w:t xml:space="preserve">,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 </w:t>
      </w:r>
      <w:r w:rsidRPr="004323BC">
        <w:rPr>
          <w:rFonts w:ascii="Times New Roman" w:hAnsi="Times New Roman" w:cs="Times New Roman"/>
          <w:sz w:val="24"/>
          <w:szCs w:val="24"/>
        </w:rPr>
        <w:t xml:space="preserve">7702181537,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OGRN </w:t>
      </w:r>
      <w:r w:rsidRPr="004323BC">
        <w:rPr>
          <w:rFonts w:ascii="Times New Roman" w:hAnsi="Times New Roman" w:cs="Times New Roman"/>
          <w:sz w:val="24"/>
          <w:szCs w:val="24"/>
        </w:rPr>
        <w:t xml:space="preserve">1027700479938, address specified in the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Unified State Register of Legal Entities</w:t>
      </w:r>
      <w:r w:rsidRPr="004323BC">
        <w:rPr>
          <w:rFonts w:ascii="Times New Roman" w:hAnsi="Times New Roman" w:cs="Times New Roman"/>
          <w:sz w:val="24"/>
          <w:szCs w:val="24"/>
        </w:rPr>
        <w:t xml:space="preserve">: 127051, Moscow, 29, </w:t>
      </w:r>
      <w:proofErr w:type="spellStart"/>
      <w:r w:rsidRPr="004323BC">
        <w:rPr>
          <w:rFonts w:ascii="Times New Roman" w:hAnsi="Times New Roman" w:cs="Times New Roman"/>
          <w:sz w:val="24"/>
          <w:szCs w:val="24"/>
        </w:rPr>
        <w:t>Sretenka</w:t>
      </w:r>
      <w:proofErr w:type="spellEnd"/>
      <w:r w:rsidRPr="004323BC">
        <w:rPr>
          <w:rFonts w:ascii="Times New Roman" w:hAnsi="Times New Roman" w:cs="Times New Roman"/>
          <w:sz w:val="24"/>
          <w:szCs w:val="24"/>
        </w:rPr>
        <w:t xml:space="preserve"> St. (hereinafter referred to as the Operator) for the processing of personal data (hereinafter referred to as the Personal Data), authorized for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4323BC">
        <w:rPr>
          <w:rFonts w:ascii="Times New Roman" w:hAnsi="Times New Roman" w:cs="Times New Roman"/>
          <w:sz w:val="24"/>
          <w:szCs w:val="24"/>
        </w:rPr>
        <w:t>, in accordance with the requirements of Article 10.1 of the Federal Law</w:t>
      </w:r>
      <w:r w:rsidR="00DD7B9D" w:rsidRPr="004323BC">
        <w:rPr>
          <w:rFonts w:ascii="Times New Roman" w:hAnsi="Times New Roman" w:cs="Times New Roman"/>
          <w:sz w:val="24"/>
          <w:szCs w:val="24"/>
        </w:rPr>
        <w:t xml:space="preserve"> No. 152-FZ "On Personal Data" dated by</w:t>
      </w:r>
      <w:r w:rsidRPr="004323BC">
        <w:rPr>
          <w:rFonts w:ascii="Times New Roman" w:hAnsi="Times New Roman" w:cs="Times New Roman"/>
          <w:sz w:val="24"/>
          <w:szCs w:val="24"/>
        </w:rPr>
        <w:t xml:space="preserve"> July 27, 2006 for the purposes of:</w:t>
      </w:r>
    </w:p>
    <w:p w14:paraId="3204ED27" w14:textId="77777777" w:rsidR="00446ABA" w:rsidRPr="004323BC" w:rsidRDefault="00446ABA" w:rsidP="0043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>1. preparation and placement of metadata of the work included in the periodical;</w:t>
      </w:r>
    </w:p>
    <w:p w14:paraId="020ACB9C" w14:textId="77777777" w:rsidR="00446ABA" w:rsidRPr="004323BC" w:rsidRDefault="00446ABA" w:rsidP="0043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2. preparation of electronic versions of articles and issues of the periodical to be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placed </w:t>
      </w:r>
      <w:r w:rsidRPr="004323BC">
        <w:rPr>
          <w:rFonts w:ascii="Times New Roman" w:hAnsi="Times New Roman" w:cs="Times New Roman"/>
          <w:sz w:val="24"/>
          <w:szCs w:val="24"/>
        </w:rPr>
        <w:t>in the public domain free of charge;</w:t>
      </w:r>
    </w:p>
    <w:p w14:paraId="7331DC5C" w14:textId="77777777" w:rsidR="00446ABA" w:rsidRPr="004323BC" w:rsidRDefault="00446ABA" w:rsidP="0043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>3. creation of archives of issues of the periodical and their placement in the public domain;</w:t>
      </w:r>
    </w:p>
    <w:p w14:paraId="4E57A959" w14:textId="288F9C60" w:rsidR="00594B69" w:rsidRPr="004323BC" w:rsidRDefault="00446ABA" w:rsidP="0043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>4. production and delivery</w:t>
      </w:r>
      <w:r w:rsidR="00605F8B" w:rsidRPr="004323BC">
        <w:rPr>
          <w:rFonts w:ascii="Times New Roman" w:hAnsi="Times New Roman" w:cs="Times New Roman"/>
          <w:sz w:val="24"/>
          <w:szCs w:val="24"/>
        </w:rPr>
        <w:t xml:space="preserve"> of compulsory copies of each issue of the periodical</w:t>
      </w:r>
      <w:r w:rsidRPr="004323BC">
        <w:rPr>
          <w:rFonts w:ascii="Times New Roman" w:hAnsi="Times New Roman" w:cs="Times New Roman"/>
          <w:sz w:val="24"/>
          <w:szCs w:val="24"/>
        </w:rPr>
        <w:t xml:space="preserve"> to authorized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bodies</w:t>
      </w:r>
      <w:r w:rsidRPr="004323BC">
        <w:rPr>
          <w:rFonts w:ascii="Times New Roman" w:hAnsi="Times New Roman" w:cs="Times New Roman"/>
          <w:sz w:val="24"/>
          <w:szCs w:val="24"/>
        </w:rPr>
        <w:t>;</w:t>
      </w:r>
    </w:p>
    <w:p w14:paraId="56893D6A" w14:textId="77777777" w:rsidR="00446ABA" w:rsidRPr="004323BC" w:rsidRDefault="00446ABA" w:rsidP="0043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5. formation of library funds of the operator, providing issues of the periodical to national and foreign libraries, providing access to scientific information and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familiarization </w:t>
      </w:r>
      <w:r w:rsidRPr="004323BC">
        <w:rPr>
          <w:rFonts w:ascii="Times New Roman" w:hAnsi="Times New Roman" w:cs="Times New Roman"/>
          <w:sz w:val="24"/>
          <w:szCs w:val="24"/>
        </w:rPr>
        <w:t xml:space="preserve">with the values of national or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</w:t>
      </w:r>
      <w:r w:rsidRPr="004323BC">
        <w:rPr>
          <w:rFonts w:ascii="Times New Roman" w:hAnsi="Times New Roman" w:cs="Times New Roman"/>
          <w:sz w:val="24"/>
          <w:szCs w:val="24"/>
        </w:rPr>
        <w:t>culture;</w:t>
      </w:r>
    </w:p>
    <w:p w14:paraId="001C8EEC" w14:textId="2BD26E4A" w:rsidR="00446ABA" w:rsidRPr="004323BC" w:rsidRDefault="00446ABA" w:rsidP="00432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>6. providing issues of the periodical to national and international reference databases and citation systems.</w:t>
      </w:r>
    </w:p>
    <w:p w14:paraId="6A17B1DC" w14:textId="77777777" w:rsidR="004323BC" w:rsidRPr="004323BC" w:rsidRDefault="004323BC" w:rsidP="004323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4323BC" w:rsidRPr="004323BC" w14:paraId="1D08013A" w14:textId="77777777" w:rsidTr="004323BC">
        <w:tc>
          <w:tcPr>
            <w:tcW w:w="9350" w:type="dxa"/>
          </w:tcPr>
          <w:p w14:paraId="03F5D72E" w14:textId="77777777" w:rsidR="004323BC" w:rsidRPr="004323BC" w:rsidRDefault="004323BC" w:rsidP="0043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 xml:space="preserve">The Operator's 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information 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resources, through which access to an unlimited number of persons and other actions with personal data will be provided:</w:t>
            </w:r>
          </w:p>
          <w:p w14:paraId="094CC360" w14:textId="77777777" w:rsidR="004323BC" w:rsidRPr="004323BC" w:rsidRDefault="004323BC" w:rsidP="0043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https://psyjournals.ru/</w:t>
            </w:r>
          </w:p>
          <w:p w14:paraId="0189C2EF" w14:textId="77777777" w:rsidR="004323BC" w:rsidRPr="004323BC" w:rsidRDefault="004323BC" w:rsidP="0043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BC" w:rsidRPr="004323BC" w14:paraId="11073D92" w14:textId="77777777" w:rsidTr="004323BC">
        <w:tc>
          <w:tcPr>
            <w:tcW w:w="9350" w:type="dxa"/>
          </w:tcPr>
          <w:p w14:paraId="35E4B8E7" w14:textId="77777777" w:rsidR="004323BC" w:rsidRPr="004323BC" w:rsidRDefault="004323BC" w:rsidP="004323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Operator's </w:t>
            </w:r>
            <w:r w:rsidRPr="004323B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information </w:t>
            </w:r>
            <w:r w:rsidRPr="00432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resources and official pages of the Operator in social networks</w:t>
            </w:r>
          </w:p>
          <w:p w14:paraId="22964665" w14:textId="77777777" w:rsidR="004323BC" w:rsidRPr="004323BC" w:rsidRDefault="004323BC" w:rsidP="0043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 xml:space="preserve">The list of the Operator's 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information 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 xml:space="preserve">resources and official pages of the Operator in social networks is available at the following Internet address: </w:t>
            </w:r>
            <w:hyperlink r:id="rId4" w:history="1">
              <w:r w:rsidRPr="004323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https://psyjournals.ru/about</w:t>
              </w:r>
            </w:hyperlink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23BC9A" w14:textId="77777777" w:rsidR="004323BC" w:rsidRPr="004323BC" w:rsidRDefault="004323BC" w:rsidP="0043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B0C94" w14:textId="00584687" w:rsidR="00446ABA" w:rsidRPr="004323BC" w:rsidRDefault="00446ABA" w:rsidP="00446ABA">
      <w:pPr>
        <w:rPr>
          <w:rFonts w:ascii="Times New Roman" w:hAnsi="Times New Roman" w:cs="Times New Roman"/>
          <w:sz w:val="24"/>
          <w:szCs w:val="24"/>
        </w:rPr>
      </w:pPr>
    </w:p>
    <w:p w14:paraId="602808C9" w14:textId="77777777" w:rsidR="00446ABA" w:rsidRDefault="00446ABA" w:rsidP="00446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23BC">
        <w:rPr>
          <w:rFonts w:ascii="Times New Roman" w:hAnsi="Times New Roman" w:cs="Times New Roman"/>
          <w:b/>
          <w:bCs/>
          <w:sz w:val="24"/>
          <w:szCs w:val="24"/>
        </w:rPr>
        <w:t>Categories and list of Personal Data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2AD7" w14:paraId="5C656F58" w14:textId="77777777" w:rsidTr="001C2AD7">
        <w:tc>
          <w:tcPr>
            <w:tcW w:w="2337" w:type="dxa"/>
          </w:tcPr>
          <w:p w14:paraId="78EAAFB5" w14:textId="3826C9C9" w:rsidR="001C2AD7" w:rsidRP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Data</w:t>
            </w:r>
          </w:p>
        </w:tc>
        <w:tc>
          <w:tcPr>
            <w:tcW w:w="2337" w:type="dxa"/>
          </w:tcPr>
          <w:p w14:paraId="5E63B1D5" w14:textId="16002B9C" w:rsidR="001C2AD7" w:rsidRP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Processing of personal data by an </w:t>
            </w:r>
            <w:r w:rsidRPr="001C2A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unlimited </w:t>
            </w:r>
            <w:r w:rsidRPr="001C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persons </w:t>
            </w:r>
            <w:r w:rsidRPr="001C2AD7">
              <w:rPr>
                <w:rFonts w:ascii="Times New Roman" w:hAnsi="Times New Roman" w:cs="Times New Roman"/>
                <w:sz w:val="24"/>
                <w:szCs w:val="24"/>
              </w:rPr>
              <w:t xml:space="preserve">(Prohibited/ Not Prohibited/ Not </w:t>
            </w:r>
            <w:r w:rsidRPr="001C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Prohibited, with conditions)</w:t>
            </w:r>
          </w:p>
        </w:tc>
        <w:tc>
          <w:tcPr>
            <w:tcW w:w="2338" w:type="dxa"/>
          </w:tcPr>
          <w:p w14:paraId="31AA149E" w14:textId="22D0F787" w:rsidR="001C2AD7" w:rsidRP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Prohibited actions in the processing of Personal Data by an unlimited number of persons*</w:t>
            </w:r>
          </w:p>
        </w:tc>
        <w:tc>
          <w:tcPr>
            <w:tcW w:w="2338" w:type="dxa"/>
          </w:tcPr>
          <w:p w14:paraId="3DA01C98" w14:textId="77777777" w:rsidR="001C2AD7" w:rsidRPr="001C2AD7" w:rsidRDefault="001C2AD7" w:rsidP="001C2A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Additional </w:t>
            </w:r>
            <w:r w:rsidRPr="001C2A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conditions</w:t>
            </w:r>
            <w:r w:rsidRPr="001C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  <w:p w14:paraId="64E5BBE0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5E78918A" w14:textId="77777777" w:rsidTr="003E547A">
        <w:tc>
          <w:tcPr>
            <w:tcW w:w="9350" w:type="dxa"/>
            <w:gridSpan w:val="4"/>
          </w:tcPr>
          <w:p w14:paraId="2DEC54A9" w14:textId="16A6A860" w:rsidR="001C2AD7" w:rsidRPr="001C2AD7" w:rsidRDefault="001C2AD7" w:rsidP="001C2A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432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Special</w:t>
            </w:r>
          </w:p>
        </w:tc>
      </w:tr>
      <w:tr w:rsidR="001C2AD7" w14:paraId="070F8C22" w14:textId="77777777" w:rsidTr="001C2AD7">
        <w:tc>
          <w:tcPr>
            <w:tcW w:w="2337" w:type="dxa"/>
          </w:tcPr>
          <w:p w14:paraId="5274332C" w14:textId="46B27D64" w:rsidR="001C2AD7" w:rsidRPr="001C2AD7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4EDC093B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5B0C00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E84799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746E48BC" w14:textId="77777777" w:rsidTr="001C2AD7">
        <w:tc>
          <w:tcPr>
            <w:tcW w:w="2337" w:type="dxa"/>
          </w:tcPr>
          <w:p w14:paraId="7A7F95C4" w14:textId="34763E31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337" w:type="dxa"/>
          </w:tcPr>
          <w:p w14:paraId="0BA180DC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D926C0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EB081BF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22F1F5F3" w14:textId="77777777" w:rsidTr="001C2AD7">
        <w:tc>
          <w:tcPr>
            <w:tcW w:w="2337" w:type="dxa"/>
          </w:tcPr>
          <w:p w14:paraId="45E95805" w14:textId="2453E352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337" w:type="dxa"/>
          </w:tcPr>
          <w:p w14:paraId="23E29E3F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DD95FA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ACF6F6A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22CCED1E" w14:textId="77777777" w:rsidTr="001C2AD7">
        <w:tc>
          <w:tcPr>
            <w:tcW w:w="2337" w:type="dxa"/>
          </w:tcPr>
          <w:p w14:paraId="377526D9" w14:textId="0AE492BC" w:rsidR="001C2AD7" w:rsidRPr="001C2AD7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246015D2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31DB9B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C27345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49563455" w14:textId="77777777" w:rsidTr="001C2AD7">
        <w:tc>
          <w:tcPr>
            <w:tcW w:w="2337" w:type="dxa"/>
          </w:tcPr>
          <w:p w14:paraId="2AB16394" w14:textId="07B2B47E" w:rsidR="001C2AD7" w:rsidRPr="001C2AD7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 xml:space="preserve">Academic degree, 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rank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7245E9C6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2635EE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7EFE5F7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7DEB3A61" w14:textId="77777777" w:rsidTr="001C2AD7">
        <w:tc>
          <w:tcPr>
            <w:tcW w:w="2337" w:type="dxa"/>
          </w:tcPr>
          <w:p w14:paraId="0B22879C" w14:textId="0C6D44A1" w:rsidR="001C2AD7" w:rsidRPr="001C2AD7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Place of work (organization)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46B92045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17E489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A74411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567C4979" w14:textId="77777777" w:rsidTr="001C2AD7">
        <w:tc>
          <w:tcPr>
            <w:tcW w:w="2337" w:type="dxa"/>
          </w:tcPr>
          <w:p w14:paraId="485CEE02" w14:textId="03B49C82" w:rsidR="001C2AD7" w:rsidRPr="004323BC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 xml:space="preserve">Position and </w:t>
            </w: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2337" w:type="dxa"/>
          </w:tcPr>
          <w:p w14:paraId="30238D6E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F59278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E00F9D0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1FA19620" w14:textId="77777777" w:rsidTr="001C2AD7">
        <w:tc>
          <w:tcPr>
            <w:tcW w:w="2337" w:type="dxa"/>
          </w:tcPr>
          <w:p w14:paraId="080A3D0F" w14:textId="54A96102" w:rsidR="001C2AD7" w:rsidRPr="004323BC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ORCID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0BD51E7A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9FEE060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F2833E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58ED2EF4" w14:textId="77777777" w:rsidTr="00166D4D">
        <w:tc>
          <w:tcPr>
            <w:tcW w:w="9350" w:type="dxa"/>
            <w:gridSpan w:val="4"/>
          </w:tcPr>
          <w:p w14:paraId="05A9AA0C" w14:textId="67B2776D" w:rsidR="001C2AD7" w:rsidRDefault="001C2AD7" w:rsidP="001C2A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Biometric</w:t>
            </w:r>
          </w:p>
        </w:tc>
      </w:tr>
      <w:tr w:rsidR="001C2AD7" w14:paraId="13D5D80E" w14:textId="77777777" w:rsidTr="001C2AD7">
        <w:tc>
          <w:tcPr>
            <w:tcW w:w="2337" w:type="dxa"/>
          </w:tcPr>
          <w:p w14:paraId="4E5C12F8" w14:textId="7CF09FB7" w:rsidR="001C2AD7" w:rsidRPr="001C2AD7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Photograph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14:paraId="3D508D7C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6509C45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87F52E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AD7" w14:paraId="0F866F74" w14:textId="77777777" w:rsidTr="001C2AD7">
        <w:tc>
          <w:tcPr>
            <w:tcW w:w="2337" w:type="dxa"/>
          </w:tcPr>
          <w:p w14:paraId="39A0FBAF" w14:textId="20AB6784" w:rsidR="001C2AD7" w:rsidRPr="001C2AD7" w:rsidRDefault="001C2AD7" w:rsidP="0044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Audio recording</w:t>
            </w:r>
          </w:p>
        </w:tc>
        <w:tc>
          <w:tcPr>
            <w:tcW w:w="2337" w:type="dxa"/>
          </w:tcPr>
          <w:p w14:paraId="6FE44555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344C923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0E515EA" w14:textId="77777777" w:rsidR="001C2AD7" w:rsidRDefault="001C2AD7" w:rsidP="00446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54AC23" w14:textId="73C0DFD7" w:rsidR="00446ABA" w:rsidRPr="004323BC" w:rsidRDefault="00446ABA" w:rsidP="00446ABA">
      <w:pPr>
        <w:rPr>
          <w:rFonts w:ascii="Times New Roman" w:hAnsi="Times New Roman" w:cs="Times New Roman"/>
          <w:sz w:val="24"/>
          <w:szCs w:val="24"/>
        </w:rPr>
      </w:pPr>
    </w:p>
    <w:p w14:paraId="7BD963A3" w14:textId="10FDAE79" w:rsidR="00446ABA" w:rsidRPr="004323BC" w:rsidRDefault="00446ABA" w:rsidP="002F7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* Prohibited actions </w:t>
      </w:r>
      <w:r w:rsidR="001C0E54" w:rsidRPr="004323BC">
        <w:rPr>
          <w:rFonts w:ascii="Times New Roman" w:hAnsi="Times New Roman" w:cs="Times New Roman"/>
          <w:sz w:val="24"/>
          <w:szCs w:val="24"/>
        </w:rPr>
        <w:t>in the</w:t>
      </w:r>
      <w:r w:rsidRPr="004323BC">
        <w:rPr>
          <w:rFonts w:ascii="Times New Roman" w:hAnsi="Times New Roman" w:cs="Times New Roman"/>
          <w:sz w:val="24"/>
          <w:szCs w:val="24"/>
        </w:rPr>
        <w:t xml:space="preserve"> processing of Personal Data by an unlimited number of persons (required for the specified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</w:t>
      </w:r>
      <w:r w:rsidRPr="004323BC">
        <w:rPr>
          <w:rFonts w:ascii="Times New Roman" w:hAnsi="Times New Roman" w:cs="Times New Roman"/>
          <w:sz w:val="24"/>
          <w:szCs w:val="24"/>
        </w:rPr>
        <w:t>"Not prohibited, with conditions"):</w:t>
      </w:r>
    </w:p>
    <w:p w14:paraId="781DEA48" w14:textId="7DD7B92A" w:rsidR="001C2AD7" w:rsidRDefault="00446ABA" w:rsidP="002F75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collection; 2 - recording; 3 - systematization; 4 - accumulation; 5 - storage; 6 - </w:t>
      </w:r>
      <w:r w:rsidR="00CA554C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specification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(update, modification); 7 - </w:t>
      </w:r>
      <w:r w:rsidR="004D29AE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extraction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8 - use; 9 </w:t>
      </w:r>
      <w:r w:rsidR="00CA554C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54C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transfer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A554C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dissemination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, provision); 10 - depersonalization; 11 - blocking.</w:t>
      </w:r>
    </w:p>
    <w:p w14:paraId="67A53BB3" w14:textId="77777777" w:rsidR="002F75B2" w:rsidRPr="001C2AD7" w:rsidRDefault="002F75B2" w:rsidP="002F75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0FC55" w14:textId="2CAA988F" w:rsidR="00446ABA" w:rsidRPr="004323BC" w:rsidRDefault="00446ABA" w:rsidP="002F7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** Additional conditions for the transfer of Personal Data (except for cases established by </w:t>
      </w:r>
      <w:r w:rsidR="001C0E54" w:rsidRPr="004323BC">
        <w:rPr>
          <w:rFonts w:ascii="Times New Roman" w:hAnsi="Times New Roman" w:cs="Times New Roman"/>
          <w:sz w:val="24"/>
          <w:szCs w:val="24"/>
        </w:rPr>
        <w:t>the</w:t>
      </w:r>
      <w:r w:rsidRPr="004323BC">
        <w:rPr>
          <w:rFonts w:ascii="Times New Roman" w:hAnsi="Times New Roman" w:cs="Times New Roman"/>
          <w:sz w:val="24"/>
          <w:szCs w:val="24"/>
        </w:rPr>
        <w:t xml:space="preserve"> l</w:t>
      </w:r>
      <w:r w:rsidR="001C0E54" w:rsidRPr="004323BC">
        <w:rPr>
          <w:rFonts w:ascii="Times New Roman" w:hAnsi="Times New Roman" w:cs="Times New Roman"/>
          <w:sz w:val="24"/>
          <w:szCs w:val="24"/>
        </w:rPr>
        <w:t>aw</w:t>
      </w:r>
      <w:r w:rsidRPr="004323BC">
        <w:rPr>
          <w:rFonts w:ascii="Times New Roman" w:hAnsi="Times New Roman" w:cs="Times New Roman"/>
          <w:sz w:val="24"/>
          <w:szCs w:val="24"/>
        </w:rPr>
        <w:t>) by the Operator via the network (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filled </w:t>
      </w:r>
      <w:r w:rsidRPr="004323BC">
        <w:rPr>
          <w:rFonts w:ascii="Times New Roman" w:hAnsi="Times New Roman" w:cs="Times New Roman"/>
          <w:sz w:val="24"/>
          <w:szCs w:val="24"/>
        </w:rPr>
        <w:t xml:space="preserve">in at the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 </w:t>
      </w:r>
      <w:r w:rsidRPr="004323BC">
        <w:rPr>
          <w:rFonts w:ascii="Times New Roman" w:hAnsi="Times New Roman" w:cs="Times New Roman"/>
          <w:sz w:val="24"/>
          <w:szCs w:val="24"/>
        </w:rPr>
        <w:t>of the subject of Personal Data):</w:t>
      </w:r>
    </w:p>
    <w:p w14:paraId="7F4D4DB9" w14:textId="77777777" w:rsidR="00446ABA" w:rsidRPr="004323BC" w:rsidRDefault="00446ABA" w:rsidP="002F7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1 - it is possible to transfer received Personal Data only via the internal network (access to information is provided only for strictly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defined </w:t>
      </w:r>
      <w:r w:rsidRPr="004323BC">
        <w:rPr>
          <w:rFonts w:ascii="Times New Roman" w:hAnsi="Times New Roman" w:cs="Times New Roman"/>
          <w:sz w:val="24"/>
          <w:szCs w:val="24"/>
        </w:rPr>
        <w:t>employees);</w:t>
      </w:r>
    </w:p>
    <w:p w14:paraId="53ABB45B" w14:textId="77777777" w:rsidR="00446ABA" w:rsidRPr="004323BC" w:rsidRDefault="00446ABA" w:rsidP="002F7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2 - it is possible to transfer the received Personal Data using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information and telecommunication networks</w:t>
      </w:r>
      <w:r w:rsidRPr="004323BC">
        <w:rPr>
          <w:rFonts w:ascii="Times New Roman" w:hAnsi="Times New Roman" w:cs="Times New Roman"/>
          <w:sz w:val="24"/>
          <w:szCs w:val="24"/>
        </w:rPr>
        <w:t>;</w:t>
      </w:r>
    </w:p>
    <w:p w14:paraId="26DBC758" w14:textId="1097AAFB" w:rsidR="00446ABA" w:rsidRPr="004323BC" w:rsidRDefault="00446ABA" w:rsidP="002F7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3 - the received data may not be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transferred </w:t>
      </w:r>
      <w:r w:rsidRPr="004323BC">
        <w:rPr>
          <w:rFonts w:ascii="Times New Roman" w:hAnsi="Times New Roman" w:cs="Times New Roman"/>
          <w:sz w:val="24"/>
          <w:szCs w:val="24"/>
        </w:rPr>
        <w:t>by the Operator processing the Personal Data</w:t>
      </w:r>
    </w:p>
    <w:p w14:paraId="0D8B6538" w14:textId="5D7A0C80" w:rsidR="00446ABA" w:rsidRDefault="00446ABA" w:rsidP="002F75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3BC">
        <w:rPr>
          <w:rFonts w:ascii="Times New Roman" w:hAnsi="Times New Roman" w:cs="Times New Roman"/>
          <w:sz w:val="24"/>
          <w:szCs w:val="24"/>
        </w:rPr>
        <w:t xml:space="preserve">The </w:t>
      </w:r>
      <w:r w:rsidR="00CA554C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duration period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23BC">
        <w:rPr>
          <w:rFonts w:ascii="Times New Roman" w:hAnsi="Times New Roman" w:cs="Times New Roman"/>
          <w:sz w:val="24"/>
          <w:szCs w:val="24"/>
        </w:rPr>
        <w:t xml:space="preserve">of consent is established from the date of its signing until the achievement of the purposes of </w:t>
      </w:r>
      <w:r w:rsidR="001C0E54" w:rsidRPr="004323BC">
        <w:rPr>
          <w:rFonts w:ascii="Times New Roman" w:hAnsi="Times New Roman" w:cs="Times New Roman"/>
          <w:sz w:val="24"/>
          <w:szCs w:val="24"/>
        </w:rPr>
        <w:t xml:space="preserve">the </w:t>
      </w:r>
      <w:r w:rsidRPr="004323BC">
        <w:rPr>
          <w:rFonts w:ascii="Times New Roman" w:hAnsi="Times New Roman" w:cs="Times New Roman"/>
          <w:sz w:val="24"/>
          <w:szCs w:val="24"/>
        </w:rPr>
        <w:t xml:space="preserve">personal data processing or during the period of </w:t>
      </w:r>
      <w:r w:rsidR="001C0E54" w:rsidRPr="004323BC">
        <w:rPr>
          <w:rFonts w:ascii="Times New Roman" w:hAnsi="Times New Roman" w:cs="Times New Roman"/>
          <w:sz w:val="24"/>
          <w:szCs w:val="24"/>
        </w:rPr>
        <w:t xml:space="preserve">the storage of </w:t>
      </w:r>
      <w:r w:rsidRPr="004323BC">
        <w:rPr>
          <w:rFonts w:ascii="Times New Roman" w:hAnsi="Times New Roman" w:cs="Times New Roman"/>
          <w:sz w:val="24"/>
          <w:szCs w:val="24"/>
        </w:rPr>
        <w:t xml:space="preserve">information. </w:t>
      </w:r>
      <w:r w:rsidR="001C0E54" w:rsidRPr="004323BC">
        <w:rPr>
          <w:rFonts w:ascii="Times New Roman" w:hAnsi="Times New Roman" w:cs="Times New Roman"/>
          <w:sz w:val="24"/>
          <w:szCs w:val="24"/>
        </w:rPr>
        <w:t>C</w:t>
      </w:r>
      <w:r w:rsidRPr="004323BC">
        <w:rPr>
          <w:rFonts w:ascii="Times New Roman" w:hAnsi="Times New Roman" w:cs="Times New Roman"/>
          <w:sz w:val="24"/>
          <w:szCs w:val="24"/>
        </w:rPr>
        <w:t>onsent may be withdrawn by me ahead of time on the basis of a written request to the Operator. Such</w:t>
      </w:r>
      <w:r w:rsidR="001C0E54" w:rsidRPr="004323BC">
        <w:rPr>
          <w:rFonts w:ascii="Times New Roman" w:hAnsi="Times New Roman" w:cs="Times New Roman"/>
          <w:sz w:val="24"/>
          <w:szCs w:val="24"/>
        </w:rPr>
        <w:t xml:space="preserve"> a</w:t>
      </w:r>
      <w:r w:rsidRPr="004323BC">
        <w:rPr>
          <w:rFonts w:ascii="Times New Roman" w:hAnsi="Times New Roman" w:cs="Times New Roman"/>
          <w:sz w:val="24"/>
          <w:szCs w:val="24"/>
        </w:rPr>
        <w:t xml:space="preserve"> withdrawal does not limit the Operator in issues of</w:t>
      </w:r>
      <w:r w:rsidR="00CA554C" w:rsidRPr="004323BC">
        <w:rPr>
          <w:rFonts w:ascii="Times New Roman" w:hAnsi="Times New Roman" w:cs="Times New Roman"/>
          <w:sz w:val="24"/>
          <w:szCs w:val="24"/>
        </w:rPr>
        <w:t xml:space="preserve"> </w:t>
      </w:r>
      <w:r w:rsidRPr="004323BC"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CA554C"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43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archival storage of documents containing personal data in electronic form.</w:t>
      </w:r>
    </w:p>
    <w:p w14:paraId="40FA8C51" w14:textId="77777777" w:rsidR="002F75B2" w:rsidRPr="004323BC" w:rsidRDefault="002F75B2" w:rsidP="002F75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2AD7" w14:paraId="19621DE8" w14:textId="77777777" w:rsidTr="002F75B2">
        <w:tc>
          <w:tcPr>
            <w:tcW w:w="3116" w:type="dxa"/>
          </w:tcPr>
          <w:p w14:paraId="1208D7F4" w14:textId="2D494E26" w:rsidR="001C2AD7" w:rsidRDefault="001C2AD7" w:rsidP="001C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ate)</w:t>
            </w:r>
          </w:p>
        </w:tc>
        <w:tc>
          <w:tcPr>
            <w:tcW w:w="3117" w:type="dxa"/>
          </w:tcPr>
          <w:p w14:paraId="785169C1" w14:textId="7886E3E9" w:rsidR="001C2AD7" w:rsidRDefault="001C2AD7" w:rsidP="001C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(Signature)</w:t>
            </w:r>
          </w:p>
        </w:tc>
        <w:tc>
          <w:tcPr>
            <w:tcW w:w="3117" w:type="dxa"/>
          </w:tcPr>
          <w:p w14:paraId="66530134" w14:textId="114F7139" w:rsidR="001C2AD7" w:rsidRDefault="00AB53B2" w:rsidP="00AB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62CD">
              <w:rPr>
                <w:rFonts w:ascii="Times New Roman" w:hAnsi="Times New Roman" w:cs="Times New Roman"/>
                <w:sz w:val="24"/>
                <w:szCs w:val="24"/>
              </w:rPr>
              <w:t>Clarification of</w:t>
            </w:r>
            <w:r w:rsidRPr="004323BC">
              <w:rPr>
                <w:rFonts w:ascii="Times New Roman" w:hAnsi="Times New Roman" w:cs="Times New Roman"/>
                <w:sz w:val="24"/>
                <w:szCs w:val="24"/>
              </w:rPr>
              <w:t xml:space="preserve"> signature)</w:t>
            </w:r>
          </w:p>
        </w:tc>
      </w:tr>
    </w:tbl>
    <w:p w14:paraId="793672A2" w14:textId="208C3C9C" w:rsidR="00446ABA" w:rsidRPr="004323BC" w:rsidRDefault="00446ABA" w:rsidP="00446ABA">
      <w:pPr>
        <w:rPr>
          <w:rFonts w:ascii="Times New Roman" w:hAnsi="Times New Roman" w:cs="Times New Roman"/>
          <w:sz w:val="24"/>
          <w:szCs w:val="24"/>
        </w:rPr>
      </w:pPr>
    </w:p>
    <w:sectPr w:rsidR="00446ABA" w:rsidRPr="004323BC" w:rsidSect="004323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76"/>
    <w:rsid w:val="001C0E54"/>
    <w:rsid w:val="001C2AD7"/>
    <w:rsid w:val="002576B3"/>
    <w:rsid w:val="002F75B2"/>
    <w:rsid w:val="004323BC"/>
    <w:rsid w:val="00446ABA"/>
    <w:rsid w:val="004D29AE"/>
    <w:rsid w:val="00594B69"/>
    <w:rsid w:val="00605F8B"/>
    <w:rsid w:val="00677776"/>
    <w:rsid w:val="007976AB"/>
    <w:rsid w:val="00AB53B2"/>
    <w:rsid w:val="00AE6DA1"/>
    <w:rsid w:val="00C2194F"/>
    <w:rsid w:val="00CA554C"/>
    <w:rsid w:val="00D87335"/>
    <w:rsid w:val="00DD7B9D"/>
    <w:rsid w:val="00E762CD"/>
    <w:rsid w:val="00EE042C"/>
    <w:rsid w:val="00F02DC9"/>
    <w:rsid w:val="00F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4431"/>
  <w15:chartTrackingRefBased/>
  <w15:docId w15:val="{3E5B037D-45D2-4F66-9BE7-9EFA7B8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A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6A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9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journals.ru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Makushin</dc:creator>
  <cp:keywords/>
  <dc:description/>
  <cp:lastModifiedBy>Alexey Makushin</cp:lastModifiedBy>
  <cp:revision>16</cp:revision>
  <dcterms:created xsi:type="dcterms:W3CDTF">2023-07-19T00:01:00Z</dcterms:created>
  <dcterms:modified xsi:type="dcterms:W3CDTF">2023-07-19T06:13:00Z</dcterms:modified>
</cp:coreProperties>
</file>